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30B1" w14:textId="36E8485F" w:rsidR="008C7EAD" w:rsidRPr="008C7EAD" w:rsidRDefault="008C7EAD" w:rsidP="0046029C">
      <w:pPr>
        <w:spacing w:after="0" w:line="500" w:lineRule="exact"/>
        <w:ind w:leftChars="-1" w:left="-2" w:firstLineChars="5" w:firstLine="18"/>
        <w:contextualSpacing/>
        <w:jc w:val="both"/>
        <w:rPr>
          <w:rFonts w:ascii="標楷體" w:eastAsia="標楷體" w:hAnsi="標楷體"/>
          <w:color w:val="000000"/>
          <w:sz w:val="36"/>
          <w:szCs w:val="36"/>
        </w:rPr>
      </w:pPr>
      <w:r w:rsidRPr="008C7EAD">
        <w:rPr>
          <w:rFonts w:ascii="標楷體" w:eastAsia="標楷體" w:hAnsi="標楷體"/>
          <w:noProof/>
          <w:color w:val="000000"/>
          <w:sz w:val="36"/>
          <w:szCs w:val="36"/>
        </w:rPr>
        <mc:AlternateContent>
          <mc:Choice Requires="wps">
            <w:drawing>
              <wp:anchor distT="45720" distB="45720" distL="114300" distR="114300" simplePos="0" relativeHeight="251659264" behindDoc="0" locked="0" layoutInCell="1" allowOverlap="1" wp14:anchorId="7CD5D01A" wp14:editId="59CFECBF">
                <wp:simplePos x="0" y="0"/>
                <wp:positionH relativeFrom="column">
                  <wp:posOffset>-38100</wp:posOffset>
                </wp:positionH>
                <wp:positionV relativeFrom="paragraph">
                  <wp:posOffset>-329794</wp:posOffset>
                </wp:positionV>
                <wp:extent cx="752475" cy="2952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solidFill>
                            <a:srgbClr val="000000"/>
                          </a:solidFill>
                          <a:miter lim="800000"/>
                          <a:headEnd/>
                          <a:tailEnd/>
                        </a:ln>
                      </wps:spPr>
                      <wps:txbx>
                        <w:txbxContent>
                          <w:p w14:paraId="73E738A2" w14:textId="3D321C7C" w:rsidR="008C7EAD" w:rsidRPr="0046029C" w:rsidRDefault="008C7EAD" w:rsidP="008C7EAD">
                            <w:pPr>
                              <w:spacing w:line="320" w:lineRule="exact"/>
                              <w:jc w:val="center"/>
                              <w:rPr>
                                <w:rFonts w:ascii="Times New Roman" w:eastAsia="標楷體" w:hAnsi="Times New Roman"/>
                                <w:b/>
                                <w:bCs/>
                                <w:sz w:val="28"/>
                                <w:szCs w:val="28"/>
                              </w:rPr>
                            </w:pPr>
                            <w:r w:rsidRPr="0046029C">
                              <w:rPr>
                                <w:rFonts w:ascii="Times New Roman" w:eastAsia="標楷體" w:hAnsi="Times New Roman"/>
                                <w:b/>
                                <w:bCs/>
                                <w:sz w:val="28"/>
                                <w:szCs w:val="28"/>
                              </w:rPr>
                              <w:t>附件</w:t>
                            </w:r>
                            <w:r w:rsidR="003E14D8">
                              <w:rPr>
                                <w:rFonts w:ascii="Times New Roman" w:eastAsia="標楷體" w:hAnsi="Times New Roman"/>
                                <w:b/>
                                <w:bCs/>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5D01A" id="_x0000_t202" coordsize="21600,21600" o:spt="202" path="m,l,21600r21600,l21600,xe">
                <v:stroke joinstyle="miter"/>
                <v:path gradientshapeok="t" o:connecttype="rect"/>
              </v:shapetype>
              <v:shape id="文字方塊 2" o:spid="_x0000_s1026" type="#_x0000_t202" style="position:absolute;left:0;text-align:left;margin-left:-3pt;margin-top:-25.95pt;width:59.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xBDAIAAB4EAAAOAAAAZHJzL2Uyb0RvYy54bWysU81u2zAMvg/YOwi6L06MZGmNOEWXLsOA&#10;rhvQ7QEUWY6FyaJGKbGzpx8lu2n2dxmmg0CK1EfyI7m66VvDjgq9Blvy2WTKmbISKm33Jf/yefvq&#10;i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">
                <v:textbox>
                  <w:txbxContent>
                    <w:p w14:paraId="73E738A2" w14:textId="3D321C7C" w:rsidR="008C7EAD" w:rsidRPr="0046029C" w:rsidRDefault="008C7EAD" w:rsidP="008C7EAD">
                      <w:pPr>
                        <w:spacing w:line="320" w:lineRule="exact"/>
                        <w:jc w:val="center"/>
                        <w:rPr>
                          <w:rFonts w:ascii="Times New Roman" w:eastAsia="標楷體" w:hAnsi="Times New Roman"/>
                          <w:b/>
                          <w:bCs/>
                          <w:sz w:val="28"/>
                          <w:szCs w:val="28"/>
                        </w:rPr>
                      </w:pPr>
                      <w:r w:rsidRPr="0046029C">
                        <w:rPr>
                          <w:rFonts w:ascii="Times New Roman" w:eastAsia="標楷體" w:hAnsi="Times New Roman"/>
                          <w:b/>
                          <w:bCs/>
                          <w:sz w:val="28"/>
                          <w:szCs w:val="28"/>
                        </w:rPr>
                        <w:t>附件</w:t>
                      </w:r>
                      <w:r w:rsidR="003E14D8">
                        <w:rPr>
                          <w:rFonts w:ascii="Times New Roman" w:eastAsia="標楷體" w:hAnsi="Times New Roman"/>
                          <w:b/>
                          <w:bCs/>
                          <w:sz w:val="28"/>
                          <w:szCs w:val="28"/>
                        </w:rPr>
                        <w:t>1</w:t>
                      </w:r>
                    </w:p>
                  </w:txbxContent>
                </v:textbox>
              </v:shape>
            </w:pict>
          </mc:Fallback>
        </mc:AlternateContent>
      </w:r>
      <w:r w:rsidRPr="008C7EAD">
        <w:rPr>
          <w:rFonts w:ascii="標楷體" w:eastAsia="標楷體" w:hAnsi="標楷體" w:hint="eastAsia"/>
          <w:color w:val="000000"/>
          <w:sz w:val="36"/>
          <w:szCs w:val="36"/>
        </w:rPr>
        <w:t>中華民國證券商業同業公會「發行人募集與發行有價證券承銷商評估報告應行記載事項要點」</w:t>
      </w:r>
      <w:r w:rsidR="00721412">
        <w:rPr>
          <w:rFonts w:ascii="標楷體" w:eastAsia="標楷體" w:hAnsi="標楷體" w:hint="eastAsia"/>
          <w:color w:val="000000"/>
          <w:sz w:val="36"/>
          <w:szCs w:val="36"/>
        </w:rPr>
        <w:t>第參點</w:t>
      </w:r>
      <w:r w:rsidR="005766E9" w:rsidRPr="00E029A5">
        <w:rPr>
          <w:rFonts w:eastAsia="標楷體"/>
          <w:color w:val="000000"/>
          <w:spacing w:val="20"/>
          <w:sz w:val="36"/>
          <w:szCs w:val="36"/>
        </w:rPr>
        <w:t>修正條文對照表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8C7EAD" w:rsidRPr="003E14D8" w14:paraId="6901AC2A" w14:textId="77777777" w:rsidTr="00E57E89">
        <w:trPr>
          <w:jc w:val="center"/>
        </w:trPr>
        <w:tc>
          <w:tcPr>
            <w:tcW w:w="3258" w:type="dxa"/>
            <w:shd w:val="clear" w:color="auto" w:fill="auto"/>
          </w:tcPr>
          <w:p w14:paraId="0DF9EFEA" w14:textId="77777777" w:rsidR="008C7EAD" w:rsidRPr="003E14D8" w:rsidRDefault="008C7EAD" w:rsidP="009F6D36">
            <w:pPr>
              <w:spacing w:after="0" w:line="400" w:lineRule="exact"/>
              <w:contextualSpacing/>
              <w:jc w:val="center"/>
              <w:rPr>
                <w:rFonts w:ascii="Times New Roman" w:eastAsia="標楷體" w:hAnsi="Times New Roman"/>
                <w:b/>
                <w:color w:val="000000"/>
                <w:szCs w:val="24"/>
              </w:rPr>
            </w:pPr>
            <w:r w:rsidRPr="003E14D8">
              <w:rPr>
                <w:rFonts w:ascii="Times New Roman" w:eastAsia="標楷體" w:hAnsi="Times New Roman"/>
                <w:b/>
                <w:color w:val="000000"/>
                <w:szCs w:val="24"/>
              </w:rPr>
              <w:t>修正條文</w:t>
            </w:r>
          </w:p>
        </w:tc>
        <w:tc>
          <w:tcPr>
            <w:tcW w:w="3259" w:type="dxa"/>
            <w:shd w:val="clear" w:color="auto" w:fill="auto"/>
          </w:tcPr>
          <w:p w14:paraId="48758FFE" w14:textId="77777777" w:rsidR="008C7EAD" w:rsidRPr="003E14D8" w:rsidRDefault="008C7EAD" w:rsidP="009F6D36">
            <w:pPr>
              <w:spacing w:after="0" w:line="400" w:lineRule="exact"/>
              <w:contextualSpacing/>
              <w:jc w:val="center"/>
              <w:rPr>
                <w:rFonts w:ascii="Times New Roman" w:eastAsia="標楷體" w:hAnsi="Times New Roman"/>
                <w:b/>
                <w:color w:val="000000"/>
                <w:szCs w:val="24"/>
              </w:rPr>
            </w:pPr>
            <w:r w:rsidRPr="003E14D8">
              <w:rPr>
                <w:rFonts w:ascii="Times New Roman" w:eastAsia="標楷體" w:hAnsi="Times New Roman"/>
                <w:b/>
                <w:color w:val="000000"/>
                <w:szCs w:val="24"/>
              </w:rPr>
              <w:t>現行條文</w:t>
            </w:r>
          </w:p>
        </w:tc>
        <w:tc>
          <w:tcPr>
            <w:tcW w:w="3259" w:type="dxa"/>
          </w:tcPr>
          <w:p w14:paraId="6121CEA6" w14:textId="77777777" w:rsidR="008C7EAD" w:rsidRPr="003E14D8" w:rsidRDefault="008C7EAD" w:rsidP="009F6D36">
            <w:pPr>
              <w:spacing w:after="0" w:line="400" w:lineRule="exact"/>
              <w:contextualSpacing/>
              <w:jc w:val="center"/>
              <w:rPr>
                <w:rFonts w:ascii="Times New Roman" w:eastAsia="標楷體" w:hAnsi="Times New Roman"/>
                <w:b/>
                <w:color w:val="000000"/>
                <w:szCs w:val="24"/>
              </w:rPr>
            </w:pPr>
            <w:r w:rsidRPr="003E14D8">
              <w:rPr>
                <w:rFonts w:ascii="Times New Roman" w:eastAsia="標楷體" w:hAnsi="Times New Roman"/>
                <w:b/>
                <w:color w:val="000000"/>
                <w:szCs w:val="24"/>
              </w:rPr>
              <w:t>說明</w:t>
            </w:r>
          </w:p>
        </w:tc>
      </w:tr>
      <w:tr w:rsidR="008C7EAD" w:rsidRPr="003E14D8" w14:paraId="497735AF" w14:textId="77777777" w:rsidTr="00E57E89">
        <w:trPr>
          <w:jc w:val="center"/>
        </w:trPr>
        <w:tc>
          <w:tcPr>
            <w:tcW w:w="3258" w:type="dxa"/>
            <w:shd w:val="clear" w:color="auto" w:fill="auto"/>
          </w:tcPr>
          <w:p w14:paraId="0036BCC0" w14:textId="77777777" w:rsidR="008C7EAD" w:rsidRPr="003E14D8" w:rsidRDefault="008C7EAD" w:rsidP="009F6D36">
            <w:pPr>
              <w:snapToGrid w:val="0"/>
              <w:spacing w:before="100" w:after="100" w:line="400" w:lineRule="exact"/>
              <w:ind w:left="413" w:hanging="413"/>
              <w:jc w:val="both"/>
              <w:rPr>
                <w:rFonts w:ascii="Times New Roman" w:hAnsi="Times New Roman"/>
                <w:szCs w:val="24"/>
              </w:rPr>
            </w:pPr>
            <w:r w:rsidRPr="003E14D8">
              <w:rPr>
                <w:rFonts w:ascii="Times New Roman" w:eastAsia="標楷體" w:hAnsi="Times New Roman"/>
                <w:color w:val="000000"/>
                <w:szCs w:val="24"/>
              </w:rPr>
              <w:t>參、現金增資發行新股（含附認股權特別股）、發行轉換公司債及附認股權公司債者，應載明或評估下列事項：</w:t>
            </w:r>
          </w:p>
          <w:p w14:paraId="4EF3BE08" w14:textId="77777777" w:rsidR="008C7EAD" w:rsidRPr="003E14D8" w:rsidRDefault="008C7EAD" w:rsidP="009F6D36">
            <w:pPr>
              <w:spacing w:before="100" w:after="100" w:line="400" w:lineRule="exact"/>
              <w:ind w:left="360" w:hangingChars="150" w:hanging="360"/>
              <w:jc w:val="both"/>
              <w:rPr>
                <w:rFonts w:ascii="Times New Roman" w:eastAsia="標楷體" w:hAnsi="Times New Roman"/>
                <w:color w:val="000000"/>
                <w:kern w:val="0"/>
                <w:szCs w:val="24"/>
              </w:rPr>
            </w:pPr>
            <w:r w:rsidRPr="003E14D8">
              <w:rPr>
                <w:rFonts w:ascii="Times New Roman" w:eastAsia="標楷體" w:hAnsi="Times New Roman"/>
                <w:color w:val="000000"/>
                <w:szCs w:val="24"/>
              </w:rPr>
              <w:t>一、承</w:t>
            </w:r>
            <w:r w:rsidRPr="003E14D8">
              <w:rPr>
                <w:rFonts w:ascii="Times New Roman" w:eastAsia="標楷體" w:hAnsi="Times New Roman"/>
                <w:color w:val="000000"/>
                <w:kern w:val="0"/>
                <w:szCs w:val="24"/>
              </w:rPr>
              <w:t>銷商總結意見，至少應分為二段，第一段說明發行人本次申報募集有價證券之種類、程序、承銷商所採用之輔導及評估程序、及其法令依據。第二段說明承銷商對於本次發行人募集與發行有價證券是否符合「發行人募集與發行有價證券處理準則」及相關法令規定暨其計畫是否具有可行性及必要性、資金運用計畫、預計進度及預計可能產生效益是否具有合理性所表示之意見。承銷商之負責人及出具評估意見之承銷部門主管應於總結意見共同簽章</w:t>
            </w:r>
            <w:r w:rsidRPr="003E14D8">
              <w:rPr>
                <w:rFonts w:ascii="Times New Roman" w:eastAsia="標楷體" w:hAnsi="Times New Roman"/>
                <w:color w:val="000000"/>
                <w:kern w:val="0"/>
                <w:szCs w:val="24"/>
              </w:rPr>
              <w:t>(</w:t>
            </w:r>
            <w:r w:rsidRPr="003E14D8">
              <w:rPr>
                <w:rFonts w:ascii="Times New Roman" w:eastAsia="標楷體" w:hAnsi="Times New Roman"/>
                <w:color w:val="000000"/>
                <w:kern w:val="0"/>
                <w:szCs w:val="24"/>
              </w:rPr>
              <w:t>格式如附表</w:t>
            </w:r>
            <w:proofErr w:type="gramStart"/>
            <w:r w:rsidRPr="003E14D8">
              <w:rPr>
                <w:rFonts w:ascii="Times New Roman" w:eastAsia="標楷體" w:hAnsi="Times New Roman"/>
                <w:color w:val="000000"/>
                <w:kern w:val="0"/>
                <w:szCs w:val="24"/>
              </w:rPr>
              <w:t>一</w:t>
            </w:r>
            <w:proofErr w:type="gramEnd"/>
            <w:r w:rsidRPr="003E14D8">
              <w:rPr>
                <w:rFonts w:ascii="Times New Roman" w:eastAsia="標楷體" w:hAnsi="Times New Roman"/>
                <w:color w:val="000000"/>
                <w:kern w:val="0"/>
                <w:szCs w:val="24"/>
              </w:rPr>
              <w:t>之</w:t>
            </w:r>
            <w:proofErr w:type="gramStart"/>
            <w:r w:rsidRPr="003E14D8">
              <w:rPr>
                <w:rFonts w:ascii="Times New Roman" w:eastAsia="標楷體" w:hAnsi="Times New Roman"/>
                <w:color w:val="000000"/>
                <w:kern w:val="0"/>
                <w:szCs w:val="24"/>
              </w:rPr>
              <w:t>一</w:t>
            </w:r>
            <w:proofErr w:type="gramEnd"/>
            <w:r w:rsidRPr="003E14D8">
              <w:rPr>
                <w:rFonts w:ascii="Times New Roman" w:eastAsia="標楷體" w:hAnsi="Times New Roman"/>
                <w:color w:val="000000"/>
                <w:kern w:val="0"/>
                <w:szCs w:val="24"/>
              </w:rPr>
              <w:t>)</w:t>
            </w:r>
            <w:r w:rsidRPr="003E14D8">
              <w:rPr>
                <w:rFonts w:ascii="Times New Roman" w:eastAsia="標楷體" w:hAnsi="Times New Roman"/>
                <w:color w:val="000000"/>
                <w:kern w:val="0"/>
                <w:szCs w:val="24"/>
              </w:rPr>
              <w:t>。</w:t>
            </w:r>
          </w:p>
          <w:p w14:paraId="77CE2028" w14:textId="77777777" w:rsidR="008C7EAD" w:rsidRPr="003E14D8" w:rsidRDefault="008C7EAD" w:rsidP="009F6D36">
            <w:pPr>
              <w:spacing w:before="100" w:after="100" w:line="400" w:lineRule="exact"/>
              <w:ind w:leftChars="150" w:left="360"/>
              <w:jc w:val="both"/>
              <w:rPr>
                <w:rFonts w:ascii="Times New Roman" w:eastAsia="標楷體" w:hAnsi="Times New Roman"/>
                <w:color w:val="000000"/>
                <w:kern w:val="0"/>
                <w:szCs w:val="24"/>
              </w:rPr>
            </w:pPr>
            <w:r w:rsidRPr="003E14D8">
              <w:rPr>
                <w:rFonts w:ascii="Times New Roman" w:eastAsia="標楷體" w:hAnsi="Times New Roman"/>
                <w:color w:val="000000"/>
                <w:kern w:val="0"/>
                <w:szCs w:val="24"/>
              </w:rPr>
              <w:t>發行人如發生足以影響有價證券募集與發行之情事者，應於前二段</w:t>
            </w:r>
            <w:proofErr w:type="gramStart"/>
            <w:r w:rsidRPr="003E14D8">
              <w:rPr>
                <w:rFonts w:ascii="Times New Roman" w:eastAsia="標楷體" w:hAnsi="Times New Roman"/>
                <w:color w:val="000000"/>
                <w:kern w:val="0"/>
                <w:szCs w:val="24"/>
              </w:rPr>
              <w:t>之間，</w:t>
            </w:r>
            <w:proofErr w:type="gramEnd"/>
            <w:r w:rsidRPr="003E14D8">
              <w:rPr>
                <w:rFonts w:ascii="Times New Roman" w:eastAsia="標楷體" w:hAnsi="Times New Roman"/>
                <w:color w:val="000000"/>
                <w:kern w:val="0"/>
                <w:szCs w:val="24"/>
              </w:rPr>
              <w:t>增列中間段，將有關之重要事實，作扼要說明。</w:t>
            </w:r>
          </w:p>
          <w:p w14:paraId="39B4924C" w14:textId="2A7410EF" w:rsidR="008C7EAD" w:rsidRPr="003E14D8" w:rsidRDefault="008C7EAD" w:rsidP="009F6D36">
            <w:pPr>
              <w:spacing w:before="100" w:after="100" w:line="400" w:lineRule="exact"/>
              <w:ind w:leftChars="150" w:left="360"/>
              <w:jc w:val="both"/>
              <w:rPr>
                <w:rFonts w:ascii="Times New Roman" w:eastAsia="標楷體" w:hAnsi="Times New Roman"/>
                <w:color w:val="000000"/>
                <w:kern w:val="0"/>
                <w:szCs w:val="24"/>
              </w:rPr>
            </w:pPr>
            <w:r w:rsidRPr="003E14D8">
              <w:rPr>
                <w:rFonts w:ascii="Times New Roman" w:eastAsia="標楷體" w:hAnsi="Times New Roman"/>
                <w:color w:val="000000"/>
                <w:kern w:val="0"/>
                <w:szCs w:val="24"/>
              </w:rPr>
              <w:lastRenderedPageBreak/>
              <w:t>創新板初次上市前現金增資案件</w:t>
            </w:r>
            <w:r w:rsidRPr="003E14D8">
              <w:rPr>
                <w:rFonts w:ascii="Times New Roman" w:eastAsia="標楷體" w:hAnsi="Times New Roman"/>
                <w:b/>
                <w:bCs/>
                <w:color w:val="000000" w:themeColor="text1"/>
                <w:szCs w:val="24"/>
                <w:u w:val="single"/>
              </w:rPr>
              <w:t>及初次上櫃前現金增資案件</w:t>
            </w:r>
            <w:r w:rsidRPr="003E14D8">
              <w:rPr>
                <w:rFonts w:ascii="Times New Roman" w:eastAsia="標楷體" w:hAnsi="Times New Roman"/>
                <w:color w:val="000000"/>
                <w:kern w:val="0"/>
                <w:szCs w:val="24"/>
              </w:rPr>
              <w:t>，評估期間為最近期及最近二個會計年度。</w:t>
            </w:r>
          </w:p>
          <w:p w14:paraId="16743082" w14:textId="77777777" w:rsidR="008C7EAD" w:rsidRPr="003E14D8" w:rsidRDefault="008C7EAD" w:rsidP="009F6D36">
            <w:pPr>
              <w:spacing w:line="400" w:lineRule="exact"/>
              <w:jc w:val="both"/>
              <w:rPr>
                <w:rFonts w:ascii="Times New Roman" w:hAnsi="Times New Roman"/>
                <w:szCs w:val="24"/>
              </w:rPr>
            </w:pPr>
            <w:r w:rsidRPr="003E14D8">
              <w:rPr>
                <w:rFonts w:ascii="Times New Roman" w:eastAsia="標楷體" w:hAnsi="Times New Roman"/>
                <w:color w:val="000000"/>
                <w:kern w:val="0"/>
                <w:szCs w:val="24"/>
              </w:rPr>
              <w:t>以下</w:t>
            </w:r>
            <w:r w:rsidRPr="003E14D8">
              <w:rPr>
                <w:rFonts w:ascii="Times New Roman" w:eastAsia="標楷體" w:hAnsi="Times New Roman"/>
                <w:color w:val="000000"/>
                <w:kern w:val="0"/>
                <w:szCs w:val="24"/>
              </w:rPr>
              <w:t>(</w:t>
            </w:r>
            <w:r w:rsidRPr="003E14D8">
              <w:rPr>
                <w:rFonts w:ascii="Times New Roman" w:eastAsia="標楷體" w:hAnsi="Times New Roman"/>
                <w:color w:val="000000"/>
                <w:kern w:val="0"/>
                <w:szCs w:val="24"/>
              </w:rPr>
              <w:t>略</w:t>
            </w:r>
            <w:r w:rsidRPr="003E14D8">
              <w:rPr>
                <w:rFonts w:ascii="Times New Roman" w:eastAsia="標楷體" w:hAnsi="Times New Roman"/>
                <w:color w:val="000000"/>
                <w:kern w:val="0"/>
                <w:szCs w:val="24"/>
              </w:rPr>
              <w:t>)</w:t>
            </w:r>
          </w:p>
        </w:tc>
        <w:tc>
          <w:tcPr>
            <w:tcW w:w="3259" w:type="dxa"/>
            <w:shd w:val="clear" w:color="auto" w:fill="auto"/>
          </w:tcPr>
          <w:p w14:paraId="3794A063" w14:textId="77777777" w:rsidR="008C7EAD" w:rsidRPr="003E14D8" w:rsidRDefault="008C7EAD" w:rsidP="009F6D36">
            <w:pPr>
              <w:snapToGrid w:val="0"/>
              <w:spacing w:before="100" w:after="100" w:line="400" w:lineRule="exact"/>
              <w:ind w:left="413" w:hanging="413"/>
              <w:jc w:val="both"/>
              <w:rPr>
                <w:rFonts w:ascii="Times New Roman" w:hAnsi="Times New Roman"/>
                <w:szCs w:val="24"/>
              </w:rPr>
            </w:pPr>
            <w:r w:rsidRPr="003E14D8">
              <w:rPr>
                <w:rFonts w:ascii="Times New Roman" w:eastAsia="標楷體" w:hAnsi="Times New Roman"/>
                <w:color w:val="000000"/>
                <w:szCs w:val="24"/>
              </w:rPr>
              <w:lastRenderedPageBreak/>
              <w:t>參、現金增資發行新股（含附認股權特別股）、發行轉換公司債及附認股權公司債者，應載明或評估下列事項：</w:t>
            </w:r>
          </w:p>
          <w:p w14:paraId="5BD9C3AA" w14:textId="77777777" w:rsidR="008C7EAD" w:rsidRPr="003E14D8" w:rsidRDefault="008C7EAD" w:rsidP="009F6D36">
            <w:pPr>
              <w:spacing w:before="100" w:after="100" w:line="400" w:lineRule="exact"/>
              <w:ind w:left="360" w:hangingChars="150" w:hanging="360"/>
              <w:jc w:val="both"/>
              <w:rPr>
                <w:rFonts w:ascii="Times New Roman" w:eastAsia="標楷體" w:hAnsi="Times New Roman"/>
                <w:color w:val="000000"/>
                <w:kern w:val="0"/>
                <w:szCs w:val="24"/>
              </w:rPr>
            </w:pPr>
            <w:r w:rsidRPr="003E14D8">
              <w:rPr>
                <w:rFonts w:ascii="Times New Roman" w:eastAsia="標楷體" w:hAnsi="Times New Roman"/>
                <w:color w:val="000000"/>
                <w:szCs w:val="24"/>
              </w:rPr>
              <w:t>一、承</w:t>
            </w:r>
            <w:r w:rsidRPr="003E14D8">
              <w:rPr>
                <w:rFonts w:ascii="Times New Roman" w:eastAsia="標楷體" w:hAnsi="Times New Roman"/>
                <w:color w:val="000000"/>
                <w:kern w:val="0"/>
                <w:szCs w:val="24"/>
              </w:rPr>
              <w:t>銷商總結意見，至少應分為二段，第一段說明發行人本次申報募集有價證券之種類、程序、承銷商所採用之輔導及評估程序、及其法令依據。第二段說明承銷商對於本次發行人募集與發行有價證券是否符合「發行人募集與發行有價證券處理準則」及相關法令規定暨其計畫是否具有可行性及必要性、資金運用計畫、預計進度及預計可能產生效益是否具有合理性所表示之意見。承銷商之負責人及出具評估意見之承銷部門主管應於總結意見共同簽章</w:t>
            </w:r>
            <w:r w:rsidRPr="003E14D8">
              <w:rPr>
                <w:rFonts w:ascii="Times New Roman" w:eastAsia="標楷體" w:hAnsi="Times New Roman"/>
                <w:color w:val="000000"/>
                <w:kern w:val="0"/>
                <w:szCs w:val="24"/>
              </w:rPr>
              <w:t>(</w:t>
            </w:r>
            <w:r w:rsidRPr="003E14D8">
              <w:rPr>
                <w:rFonts w:ascii="Times New Roman" w:eastAsia="標楷體" w:hAnsi="Times New Roman"/>
                <w:color w:val="000000"/>
                <w:kern w:val="0"/>
                <w:szCs w:val="24"/>
              </w:rPr>
              <w:t>格式如附表</w:t>
            </w:r>
            <w:proofErr w:type="gramStart"/>
            <w:r w:rsidRPr="003E14D8">
              <w:rPr>
                <w:rFonts w:ascii="Times New Roman" w:eastAsia="標楷體" w:hAnsi="Times New Roman"/>
                <w:color w:val="000000"/>
                <w:kern w:val="0"/>
                <w:szCs w:val="24"/>
              </w:rPr>
              <w:t>一</w:t>
            </w:r>
            <w:proofErr w:type="gramEnd"/>
            <w:r w:rsidRPr="003E14D8">
              <w:rPr>
                <w:rFonts w:ascii="Times New Roman" w:eastAsia="標楷體" w:hAnsi="Times New Roman"/>
                <w:color w:val="000000"/>
                <w:kern w:val="0"/>
                <w:szCs w:val="24"/>
              </w:rPr>
              <w:t>之</w:t>
            </w:r>
            <w:proofErr w:type="gramStart"/>
            <w:r w:rsidRPr="003E14D8">
              <w:rPr>
                <w:rFonts w:ascii="Times New Roman" w:eastAsia="標楷體" w:hAnsi="Times New Roman"/>
                <w:color w:val="000000"/>
                <w:kern w:val="0"/>
                <w:szCs w:val="24"/>
              </w:rPr>
              <w:t>一</w:t>
            </w:r>
            <w:proofErr w:type="gramEnd"/>
            <w:r w:rsidRPr="003E14D8">
              <w:rPr>
                <w:rFonts w:ascii="Times New Roman" w:eastAsia="標楷體" w:hAnsi="Times New Roman"/>
                <w:color w:val="000000"/>
                <w:kern w:val="0"/>
                <w:szCs w:val="24"/>
              </w:rPr>
              <w:t>)</w:t>
            </w:r>
            <w:r w:rsidRPr="003E14D8">
              <w:rPr>
                <w:rFonts w:ascii="Times New Roman" w:eastAsia="標楷體" w:hAnsi="Times New Roman"/>
                <w:color w:val="000000"/>
                <w:kern w:val="0"/>
                <w:szCs w:val="24"/>
              </w:rPr>
              <w:t>。</w:t>
            </w:r>
          </w:p>
          <w:p w14:paraId="4C343875" w14:textId="77777777" w:rsidR="008C7EAD" w:rsidRPr="003E14D8" w:rsidRDefault="008C7EAD" w:rsidP="009F6D36">
            <w:pPr>
              <w:spacing w:before="100" w:after="100" w:line="400" w:lineRule="exact"/>
              <w:ind w:leftChars="150" w:left="360"/>
              <w:jc w:val="both"/>
              <w:rPr>
                <w:rFonts w:ascii="Times New Roman" w:eastAsia="標楷體" w:hAnsi="Times New Roman"/>
                <w:color w:val="000000"/>
                <w:kern w:val="0"/>
                <w:szCs w:val="24"/>
              </w:rPr>
            </w:pPr>
            <w:r w:rsidRPr="003E14D8">
              <w:rPr>
                <w:rFonts w:ascii="Times New Roman" w:eastAsia="標楷體" w:hAnsi="Times New Roman"/>
                <w:color w:val="000000"/>
                <w:kern w:val="0"/>
                <w:szCs w:val="24"/>
              </w:rPr>
              <w:t>發行人如發生足以影響有價證券募集與發行之情事者，應於前二段</w:t>
            </w:r>
            <w:proofErr w:type="gramStart"/>
            <w:r w:rsidRPr="003E14D8">
              <w:rPr>
                <w:rFonts w:ascii="Times New Roman" w:eastAsia="標楷體" w:hAnsi="Times New Roman"/>
                <w:color w:val="000000"/>
                <w:kern w:val="0"/>
                <w:szCs w:val="24"/>
              </w:rPr>
              <w:t>之間，</w:t>
            </w:r>
            <w:proofErr w:type="gramEnd"/>
            <w:r w:rsidRPr="003E14D8">
              <w:rPr>
                <w:rFonts w:ascii="Times New Roman" w:eastAsia="標楷體" w:hAnsi="Times New Roman"/>
                <w:color w:val="000000"/>
                <w:kern w:val="0"/>
                <w:szCs w:val="24"/>
              </w:rPr>
              <w:t>增列中間段，將有關之重要事實，作扼要說明。</w:t>
            </w:r>
          </w:p>
          <w:p w14:paraId="0A66C955" w14:textId="3EBA8E1A" w:rsidR="008C7EAD" w:rsidRPr="003E14D8" w:rsidRDefault="008C7EAD" w:rsidP="009F6D36">
            <w:pPr>
              <w:spacing w:before="100" w:after="100" w:line="400" w:lineRule="exact"/>
              <w:ind w:leftChars="150" w:left="360"/>
              <w:jc w:val="both"/>
              <w:rPr>
                <w:rFonts w:ascii="Times New Roman" w:eastAsia="標楷體" w:hAnsi="Times New Roman"/>
                <w:color w:val="000000"/>
                <w:kern w:val="0"/>
                <w:szCs w:val="24"/>
              </w:rPr>
            </w:pPr>
            <w:r w:rsidRPr="003E14D8">
              <w:rPr>
                <w:rFonts w:ascii="Times New Roman" w:eastAsia="標楷體" w:hAnsi="Times New Roman"/>
                <w:color w:val="000000"/>
                <w:kern w:val="0"/>
                <w:szCs w:val="24"/>
              </w:rPr>
              <w:lastRenderedPageBreak/>
              <w:t>創新板初次上市前現金增資案件，評估期間為最近期及最近二個會計年度。</w:t>
            </w:r>
          </w:p>
          <w:p w14:paraId="4F30DF93" w14:textId="244679C7" w:rsidR="008C7EAD" w:rsidRPr="003E14D8" w:rsidRDefault="008C7EAD" w:rsidP="009F6D36">
            <w:pPr>
              <w:spacing w:before="100" w:after="100" w:line="400" w:lineRule="exact"/>
              <w:ind w:left="414"/>
              <w:jc w:val="both"/>
              <w:rPr>
                <w:rFonts w:ascii="Times New Roman" w:hAnsi="Times New Roman"/>
                <w:szCs w:val="24"/>
              </w:rPr>
            </w:pPr>
            <w:r w:rsidRPr="003E14D8">
              <w:rPr>
                <w:rFonts w:ascii="Times New Roman" w:eastAsia="標楷體" w:hAnsi="Times New Roman"/>
                <w:color w:val="000000"/>
                <w:kern w:val="0"/>
                <w:szCs w:val="24"/>
              </w:rPr>
              <w:t>以下</w:t>
            </w:r>
            <w:r w:rsidRPr="003E14D8">
              <w:rPr>
                <w:rFonts w:ascii="Times New Roman" w:eastAsia="標楷體" w:hAnsi="Times New Roman"/>
                <w:color w:val="000000"/>
                <w:kern w:val="0"/>
                <w:szCs w:val="24"/>
              </w:rPr>
              <w:t>(</w:t>
            </w:r>
            <w:r w:rsidRPr="003E14D8">
              <w:rPr>
                <w:rFonts w:ascii="Times New Roman" w:eastAsia="標楷體" w:hAnsi="Times New Roman"/>
                <w:color w:val="000000"/>
                <w:kern w:val="0"/>
                <w:szCs w:val="24"/>
              </w:rPr>
              <w:t>略</w:t>
            </w:r>
            <w:r w:rsidRPr="003E14D8">
              <w:rPr>
                <w:rFonts w:ascii="Times New Roman" w:eastAsia="標楷體" w:hAnsi="Times New Roman"/>
                <w:color w:val="000000"/>
                <w:kern w:val="0"/>
                <w:szCs w:val="24"/>
              </w:rPr>
              <w:t>)</w:t>
            </w:r>
          </w:p>
        </w:tc>
        <w:tc>
          <w:tcPr>
            <w:tcW w:w="3259" w:type="dxa"/>
          </w:tcPr>
          <w:p w14:paraId="20FDF39B" w14:textId="6430FEB9" w:rsidR="008C7EAD" w:rsidRPr="003E14D8" w:rsidRDefault="008C7EAD" w:rsidP="009F6D36">
            <w:pPr>
              <w:spacing w:before="100" w:after="100" w:line="400" w:lineRule="exact"/>
              <w:ind w:firstLineChars="6" w:firstLine="14"/>
              <w:jc w:val="both"/>
              <w:rPr>
                <w:rFonts w:ascii="Times New Roman" w:eastAsia="標楷體" w:hAnsi="Times New Roman"/>
                <w:bCs/>
                <w:color w:val="000000"/>
                <w:szCs w:val="24"/>
              </w:rPr>
            </w:pPr>
            <w:r w:rsidRPr="003E14D8">
              <w:rPr>
                <w:rFonts w:ascii="Times New Roman" w:eastAsia="標楷體" w:hAnsi="Times New Roman" w:hint="eastAsia"/>
                <w:kern w:val="0"/>
                <w:szCs w:val="24"/>
              </w:rPr>
              <w:lastRenderedPageBreak/>
              <w:t>配合櫃買中心</w:t>
            </w:r>
            <w:r w:rsidR="00166721" w:rsidRPr="003E14D8">
              <w:rPr>
                <w:rFonts w:ascii="Times New Roman" w:eastAsia="標楷體" w:hAnsi="Times New Roman" w:hint="eastAsia"/>
                <w:kern w:val="0"/>
                <w:szCs w:val="24"/>
              </w:rPr>
              <w:t>修正推薦證券商辦理股票申請上櫃案之評估查核</w:t>
            </w:r>
            <w:proofErr w:type="gramStart"/>
            <w:r w:rsidR="00166721" w:rsidRPr="003E14D8">
              <w:rPr>
                <w:rFonts w:ascii="Times New Roman" w:eastAsia="標楷體" w:hAnsi="Times New Roman" w:hint="eastAsia"/>
                <w:kern w:val="0"/>
                <w:szCs w:val="24"/>
              </w:rPr>
              <w:t>期間，</w:t>
            </w:r>
            <w:proofErr w:type="gramEnd"/>
            <w:r w:rsidR="00EF48E8" w:rsidRPr="00EF48E8">
              <w:rPr>
                <w:rFonts w:ascii="Times New Roman" w:eastAsia="標楷體" w:hAnsi="Times New Roman" w:hint="eastAsia"/>
                <w:kern w:val="0"/>
                <w:szCs w:val="24"/>
              </w:rPr>
              <w:t>自最近</w:t>
            </w:r>
            <w:proofErr w:type="gramStart"/>
            <w:r w:rsidR="00EF48E8" w:rsidRPr="00EF48E8">
              <w:rPr>
                <w:rFonts w:ascii="Times New Roman" w:eastAsia="標楷體" w:hAnsi="Times New Roman" w:hint="eastAsia"/>
                <w:kern w:val="0"/>
                <w:szCs w:val="24"/>
              </w:rPr>
              <w:t>三</w:t>
            </w:r>
            <w:proofErr w:type="gramEnd"/>
            <w:r w:rsidR="00EF48E8" w:rsidRPr="00EF48E8">
              <w:rPr>
                <w:rFonts w:ascii="Times New Roman" w:eastAsia="標楷體" w:hAnsi="Times New Roman" w:hint="eastAsia"/>
                <w:kern w:val="0"/>
                <w:szCs w:val="24"/>
              </w:rPr>
              <w:t>年度及申請年度截至最近期修正為最近</w:t>
            </w:r>
            <w:proofErr w:type="gramStart"/>
            <w:r w:rsidR="00EF48E8" w:rsidRPr="00EF48E8">
              <w:rPr>
                <w:rFonts w:ascii="Times New Roman" w:eastAsia="標楷體" w:hAnsi="Times New Roman" w:hint="eastAsia"/>
                <w:kern w:val="0"/>
                <w:szCs w:val="24"/>
              </w:rPr>
              <w:t>二</w:t>
            </w:r>
            <w:proofErr w:type="gramEnd"/>
            <w:r w:rsidR="00EF48E8" w:rsidRPr="00EF48E8">
              <w:rPr>
                <w:rFonts w:ascii="Times New Roman" w:eastAsia="標楷體" w:hAnsi="Times New Roman" w:hint="eastAsia"/>
                <w:kern w:val="0"/>
                <w:szCs w:val="24"/>
              </w:rPr>
              <w:t>年度及申請年度截至最近期</w:t>
            </w:r>
            <w:r w:rsidR="00166721" w:rsidRPr="003E14D8">
              <w:rPr>
                <w:rFonts w:ascii="Times New Roman" w:eastAsia="標楷體" w:hAnsi="Times New Roman" w:hint="eastAsia"/>
                <w:kern w:val="0"/>
                <w:szCs w:val="24"/>
              </w:rPr>
              <w:t>，為符</w:t>
            </w:r>
            <w:r w:rsidR="00AE4ACF" w:rsidRPr="003E14D8">
              <w:rPr>
                <w:rFonts w:ascii="Times New Roman" w:eastAsia="標楷體" w:hAnsi="Times New Roman" w:hint="eastAsia"/>
                <w:kern w:val="0"/>
                <w:szCs w:val="24"/>
              </w:rPr>
              <w:t>合</w:t>
            </w:r>
            <w:r w:rsidR="00166721" w:rsidRPr="003E14D8">
              <w:rPr>
                <w:rFonts w:ascii="Times New Roman" w:eastAsia="標楷體" w:hAnsi="Times New Roman" w:hint="eastAsia"/>
                <w:kern w:val="0"/>
                <w:szCs w:val="24"/>
              </w:rPr>
              <w:t>承銷商評估查核作業之一致性，</w:t>
            </w:r>
            <w:proofErr w:type="gramStart"/>
            <w:r w:rsidR="00166721" w:rsidRPr="003E14D8">
              <w:rPr>
                <w:rFonts w:ascii="Times New Roman" w:eastAsia="標楷體" w:hAnsi="Times New Roman" w:hint="eastAsia"/>
                <w:kern w:val="0"/>
                <w:szCs w:val="24"/>
              </w:rPr>
              <w:t>爰</w:t>
            </w:r>
            <w:proofErr w:type="gramEnd"/>
            <w:r w:rsidR="00166721" w:rsidRPr="003E14D8">
              <w:rPr>
                <w:rFonts w:ascii="Times New Roman" w:eastAsia="標楷體" w:hAnsi="Times New Roman" w:hint="eastAsia"/>
                <w:kern w:val="0"/>
                <w:szCs w:val="24"/>
              </w:rPr>
              <w:t>修正參、一、明訂</w:t>
            </w:r>
            <w:r w:rsidR="00166721" w:rsidRPr="003E14D8">
              <w:rPr>
                <w:rFonts w:ascii="Times New Roman" w:eastAsia="標楷體" w:hAnsi="Times New Roman"/>
                <w:kern w:val="0"/>
                <w:szCs w:val="24"/>
              </w:rPr>
              <w:t>初次上櫃前現金增資案件</w:t>
            </w:r>
            <w:r w:rsidR="00166721" w:rsidRPr="003E14D8">
              <w:rPr>
                <w:rFonts w:ascii="Times New Roman" w:eastAsia="標楷體" w:hAnsi="Times New Roman" w:hint="eastAsia"/>
                <w:color w:val="000000"/>
                <w:kern w:val="0"/>
                <w:szCs w:val="24"/>
              </w:rPr>
              <w:t>之</w:t>
            </w:r>
            <w:r w:rsidR="00166721" w:rsidRPr="003E14D8">
              <w:rPr>
                <w:rFonts w:ascii="Times New Roman" w:eastAsia="標楷體" w:hAnsi="Times New Roman"/>
                <w:color w:val="000000"/>
                <w:kern w:val="0"/>
                <w:szCs w:val="24"/>
              </w:rPr>
              <w:t>評估期間為最近期及最近二個會計年度</w:t>
            </w:r>
            <w:r w:rsidRPr="003E14D8">
              <w:rPr>
                <w:rFonts w:ascii="Times New Roman" w:eastAsia="標楷體" w:hAnsi="Times New Roman"/>
                <w:kern w:val="0"/>
                <w:szCs w:val="24"/>
              </w:rPr>
              <w:t>。</w:t>
            </w:r>
          </w:p>
        </w:tc>
      </w:tr>
    </w:tbl>
    <w:p w14:paraId="60D85F55" w14:textId="77777777" w:rsidR="00E56D95" w:rsidRPr="00166721" w:rsidRDefault="00E56D95"/>
    <w:sectPr w:rsidR="00E56D95" w:rsidRPr="00166721" w:rsidSect="00E57E89">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2241" w14:textId="77777777" w:rsidR="00B57BD8" w:rsidRDefault="00B57BD8" w:rsidP="00721412">
      <w:pPr>
        <w:spacing w:after="0" w:line="240" w:lineRule="auto"/>
      </w:pPr>
      <w:r>
        <w:separator/>
      </w:r>
    </w:p>
  </w:endnote>
  <w:endnote w:type="continuationSeparator" w:id="0">
    <w:p w14:paraId="4468CE43" w14:textId="77777777" w:rsidR="00B57BD8" w:rsidRDefault="00B57BD8" w:rsidP="0072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114630"/>
      <w:docPartObj>
        <w:docPartGallery w:val="Page Numbers (Bottom of Page)"/>
        <w:docPartUnique/>
      </w:docPartObj>
    </w:sdtPr>
    <w:sdtContent>
      <w:p w14:paraId="7C3D76AE" w14:textId="39107D65" w:rsidR="003C6A67" w:rsidRDefault="003C6A67">
        <w:pPr>
          <w:pStyle w:val="a6"/>
          <w:jc w:val="center"/>
        </w:pPr>
        <w:r>
          <w:fldChar w:fldCharType="begin"/>
        </w:r>
        <w:r>
          <w:instrText>PAGE   \* MERGEFORMAT</w:instrText>
        </w:r>
        <w:r>
          <w:fldChar w:fldCharType="separate"/>
        </w:r>
        <w:r>
          <w:rPr>
            <w:lang w:val="zh-TW"/>
          </w:rPr>
          <w:t>2</w:t>
        </w:r>
        <w:r>
          <w:fldChar w:fldCharType="end"/>
        </w:r>
      </w:p>
    </w:sdtContent>
  </w:sdt>
  <w:p w14:paraId="099DE54E" w14:textId="77777777" w:rsidR="003C6A67" w:rsidRDefault="003C6A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7286" w14:textId="77777777" w:rsidR="00B57BD8" w:rsidRDefault="00B57BD8" w:rsidP="00721412">
      <w:pPr>
        <w:spacing w:after="0" w:line="240" w:lineRule="auto"/>
      </w:pPr>
      <w:r>
        <w:separator/>
      </w:r>
    </w:p>
  </w:footnote>
  <w:footnote w:type="continuationSeparator" w:id="0">
    <w:p w14:paraId="1D003567" w14:textId="77777777" w:rsidR="00B57BD8" w:rsidRDefault="00B57BD8" w:rsidP="00721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AD"/>
    <w:rsid w:val="00006428"/>
    <w:rsid w:val="000F6263"/>
    <w:rsid w:val="00166721"/>
    <w:rsid w:val="001905C0"/>
    <w:rsid w:val="00280755"/>
    <w:rsid w:val="003C6A67"/>
    <w:rsid w:val="003E14D8"/>
    <w:rsid w:val="0046029C"/>
    <w:rsid w:val="00483535"/>
    <w:rsid w:val="004A2CC9"/>
    <w:rsid w:val="005766E9"/>
    <w:rsid w:val="00721412"/>
    <w:rsid w:val="0079002B"/>
    <w:rsid w:val="007C1B72"/>
    <w:rsid w:val="00803BD9"/>
    <w:rsid w:val="008C7EAD"/>
    <w:rsid w:val="0094392E"/>
    <w:rsid w:val="009F6D36"/>
    <w:rsid w:val="00A3108C"/>
    <w:rsid w:val="00A5141D"/>
    <w:rsid w:val="00AE4ACF"/>
    <w:rsid w:val="00B058A0"/>
    <w:rsid w:val="00B57BD8"/>
    <w:rsid w:val="00BD3ADD"/>
    <w:rsid w:val="00C16DC1"/>
    <w:rsid w:val="00CD5768"/>
    <w:rsid w:val="00E144F7"/>
    <w:rsid w:val="00E56D95"/>
    <w:rsid w:val="00E57E89"/>
    <w:rsid w:val="00EF48E8"/>
    <w:rsid w:val="00F07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6C544"/>
  <w15:chartTrackingRefBased/>
  <w15:docId w15:val="{0560A0F0-E099-4B5D-AD98-271CC357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EAD"/>
    <w:pPr>
      <w:widowControl w:val="0"/>
      <w:spacing w:after="200" w:line="276" w:lineRule="auto"/>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721"/>
    <w:pPr>
      <w:ind w:leftChars="200" w:left="480"/>
    </w:pPr>
  </w:style>
  <w:style w:type="paragraph" w:styleId="a4">
    <w:name w:val="header"/>
    <w:basedOn w:val="a"/>
    <w:link w:val="a5"/>
    <w:uiPriority w:val="99"/>
    <w:unhideWhenUsed/>
    <w:rsid w:val="00721412"/>
    <w:pPr>
      <w:tabs>
        <w:tab w:val="center" w:pos="4153"/>
        <w:tab w:val="right" w:pos="8306"/>
      </w:tabs>
      <w:snapToGrid w:val="0"/>
    </w:pPr>
    <w:rPr>
      <w:sz w:val="20"/>
      <w:szCs w:val="20"/>
    </w:rPr>
  </w:style>
  <w:style w:type="character" w:customStyle="1" w:styleId="a5">
    <w:name w:val="頁首 字元"/>
    <w:basedOn w:val="a0"/>
    <w:link w:val="a4"/>
    <w:uiPriority w:val="99"/>
    <w:rsid w:val="00721412"/>
    <w:rPr>
      <w:rFonts w:ascii="Calibri" w:eastAsia="新細明體" w:hAnsi="Calibri" w:cs="Times New Roman"/>
      <w:sz w:val="20"/>
      <w:szCs w:val="20"/>
    </w:rPr>
  </w:style>
  <w:style w:type="paragraph" w:styleId="a6">
    <w:name w:val="footer"/>
    <w:basedOn w:val="a"/>
    <w:link w:val="a7"/>
    <w:uiPriority w:val="99"/>
    <w:unhideWhenUsed/>
    <w:rsid w:val="00721412"/>
    <w:pPr>
      <w:tabs>
        <w:tab w:val="center" w:pos="4153"/>
        <w:tab w:val="right" w:pos="8306"/>
      </w:tabs>
      <w:snapToGrid w:val="0"/>
    </w:pPr>
    <w:rPr>
      <w:sz w:val="20"/>
      <w:szCs w:val="20"/>
    </w:rPr>
  </w:style>
  <w:style w:type="character" w:customStyle="1" w:styleId="a7">
    <w:name w:val="頁尾 字元"/>
    <w:basedOn w:val="a0"/>
    <w:link w:val="a6"/>
    <w:uiPriority w:val="99"/>
    <w:rsid w:val="0072141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15</cp:revision>
  <cp:lastPrinted>2025-03-10T07:23:00Z</cp:lastPrinted>
  <dcterms:created xsi:type="dcterms:W3CDTF">2025-03-10T01:22:00Z</dcterms:created>
  <dcterms:modified xsi:type="dcterms:W3CDTF">2025-04-30T01:36:00Z</dcterms:modified>
</cp:coreProperties>
</file>